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70CC07">
      <w:pPr>
        <w:rPr>
          <w:rFonts w:hint="eastAsia" w:ascii="黑体" w:hAnsi="黑体" w:eastAsia="黑体"/>
          <w:sz w:val="32"/>
          <w:szCs w:val="32"/>
        </w:rPr>
      </w:pPr>
    </w:p>
    <w:p w14:paraId="7D4FEF29">
      <w:pPr>
        <w:jc w:val="center"/>
        <w:rPr>
          <w:rFonts w:hint="eastAsia" w:ascii="方正小标宋_GBK" w:hAnsi="宋体" w:eastAsia="方正小标宋_GBK"/>
          <w:sz w:val="44"/>
          <w:szCs w:val="44"/>
        </w:rPr>
      </w:pPr>
    </w:p>
    <w:p w14:paraId="7E96EC7B">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木垒哈萨克自治县新户镇中心学校</w:t>
      </w:r>
    </w:p>
    <w:p w14:paraId="7EFB1CCC">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028CB087">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6A5CEC9A">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09EDCDAE">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02F84EC0">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0AF1DA9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7B5CA21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2BC309CA">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745B52F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6E8B8E1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7AD82FC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52ADAA2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6B65714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2DB8C70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4B9388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70BA881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3F035CD4">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7F0D0AB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3260857E">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3BEDEE0B">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31D1E979">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5CF699C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7B754FEF">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5E888752">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36BC4C9A">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70D3746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B267A8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0E383DE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1EAC8AA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5C51306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31BA5DD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55AF086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36E31916">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41463284">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3D0CBD68">
      <w:r>
        <w:rPr>
          <w:rFonts w:hint="eastAsia" w:ascii="仿宋_GB2312" w:hAnsi="仿宋_GB2312" w:eastAsia="仿宋_GB2312" w:cs="仿宋_GB2312"/>
          <w:sz w:val="32"/>
          <w:szCs w:val="32"/>
        </w:rPr>
        <w:fldChar w:fldCharType="end"/>
      </w:r>
    </w:p>
    <w:p w14:paraId="2CCB1540">
      <w:pPr>
        <w:rPr>
          <w:rFonts w:ascii="仿宋_GB2312" w:eastAsia="仿宋_GB2312"/>
          <w:sz w:val="32"/>
          <w:szCs w:val="32"/>
        </w:rPr>
      </w:pPr>
      <w:r>
        <w:rPr>
          <w:rFonts w:hint="eastAsia" w:ascii="仿宋_GB2312" w:eastAsia="仿宋_GB2312"/>
          <w:sz w:val="32"/>
          <w:szCs w:val="32"/>
        </w:rPr>
        <w:br w:type="page"/>
      </w:r>
    </w:p>
    <w:p w14:paraId="05FB0342">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09B8A7A3">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0A2585E8">
      <w:pPr>
        <w:ind w:firstLine="640" w:firstLineChars="200"/>
        <w:outlineLvl w:val="1"/>
        <w:rPr>
          <w:rFonts w:ascii="仿宋_GB2312" w:eastAsia="仿宋_GB2312"/>
          <w:bCs/>
          <w:sz w:val="32"/>
          <w:szCs w:val="32"/>
        </w:rPr>
      </w:pPr>
      <w:bookmarkStart w:id="4" w:name="_Toc31238"/>
      <w:bookmarkStart w:id="5" w:name="_Toc2151"/>
      <w:r>
        <w:rPr>
          <w:rFonts w:hint="eastAsia" w:ascii="仿宋_GB2312" w:eastAsia="仿宋_GB2312"/>
          <w:bCs/>
          <w:sz w:val="32"/>
          <w:szCs w:val="32"/>
        </w:rPr>
        <w:t>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p>
    <w:p w14:paraId="6B9ED8D2">
      <w:pPr>
        <w:ind w:firstLine="640" w:firstLineChars="200"/>
        <w:outlineLvl w:val="1"/>
        <w:rPr>
          <w:rFonts w:ascii="仿宋_GB2312" w:eastAsia="仿宋_GB2312"/>
          <w:bCs/>
          <w:sz w:val="32"/>
          <w:szCs w:val="32"/>
        </w:rPr>
      </w:pPr>
      <w:r>
        <w:rPr>
          <w:rFonts w:hint="eastAsia" w:ascii="仿宋_GB2312" w:eastAsia="仿宋_GB2312"/>
          <w:bCs/>
          <w:sz w:val="32"/>
          <w:szCs w:val="32"/>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w:t>
      </w:r>
    </w:p>
    <w:p w14:paraId="47F0DDE9">
      <w:pPr>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7E7E0397">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木垒哈萨克自治县新户镇中心学校2023年度，实有人数</w:t>
      </w:r>
      <w:r>
        <w:rPr>
          <w:rFonts w:hint="eastAsia" w:ascii="仿宋_GB2312" w:eastAsia="仿宋_GB2312"/>
          <w:sz w:val="32"/>
          <w:szCs w:val="32"/>
          <w:lang w:val="zh-CN"/>
        </w:rPr>
        <w:t>132</w:t>
      </w:r>
      <w:r>
        <w:rPr>
          <w:rFonts w:hint="eastAsia" w:ascii="仿宋_GB2312" w:eastAsia="仿宋_GB2312"/>
          <w:sz w:val="32"/>
          <w:szCs w:val="32"/>
        </w:rPr>
        <w:t>人，其中：在职人员</w:t>
      </w:r>
      <w:r>
        <w:rPr>
          <w:rFonts w:hint="eastAsia" w:ascii="仿宋_GB2312" w:eastAsia="仿宋_GB2312"/>
          <w:sz w:val="32"/>
          <w:szCs w:val="32"/>
          <w:lang w:val="zh-CN"/>
        </w:rPr>
        <w:t>50</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82</w:t>
      </w:r>
      <w:r>
        <w:rPr>
          <w:rFonts w:hint="eastAsia" w:ascii="仿宋_GB2312" w:eastAsia="仿宋_GB2312"/>
          <w:sz w:val="32"/>
          <w:szCs w:val="32"/>
        </w:rPr>
        <w:t>人。</w:t>
      </w:r>
    </w:p>
    <w:p w14:paraId="1BBE7DEC">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4</w:t>
      </w:r>
      <w:r>
        <w:rPr>
          <w:rFonts w:hint="eastAsia" w:ascii="仿宋_GB2312" w:hAnsi="黑体" w:eastAsia="仿宋_GB2312" w:cs="宋体"/>
          <w:bCs/>
          <w:kern w:val="0"/>
          <w:sz w:val="32"/>
          <w:szCs w:val="32"/>
        </w:rPr>
        <w:t>个处室，分别是：教务室、总务室、财务室、德育室。</w:t>
      </w:r>
    </w:p>
    <w:p w14:paraId="55F715D1">
      <w:pPr>
        <w:ind w:firstLine="640" w:firstLineChars="200"/>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030CC401">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1BC7FC02">
      <w:pPr>
        <w:ind w:firstLine="640" w:firstLineChars="200"/>
        <w:jc w:val="left"/>
        <w:rPr>
          <w:rFonts w:ascii="仿宋_GB2312" w:eastAsia="仿宋_GB2312"/>
          <w:sz w:val="32"/>
          <w:szCs w:val="32"/>
        </w:rPr>
      </w:pPr>
      <w:r>
        <w:rPr>
          <w:rFonts w:hint="eastAsia" w:ascii="仿宋_GB2312" w:eastAsia="仿宋_GB2312"/>
          <w:sz w:val="32"/>
          <w:szCs w:val="32"/>
        </w:rPr>
        <w:t>2023年度收入总计1,317.47万元，其中：本年收入合计1,300.66万元，使用非财政拨款结余0.00万元，年初结转和结余16.81万元。</w:t>
      </w:r>
    </w:p>
    <w:p w14:paraId="621BA18F">
      <w:pPr>
        <w:ind w:firstLine="640" w:firstLineChars="200"/>
        <w:jc w:val="left"/>
        <w:rPr>
          <w:rFonts w:ascii="仿宋_GB2312" w:eastAsia="仿宋_GB2312"/>
          <w:sz w:val="32"/>
          <w:szCs w:val="32"/>
        </w:rPr>
      </w:pPr>
      <w:r>
        <w:rPr>
          <w:rFonts w:hint="eastAsia" w:ascii="仿宋_GB2312" w:eastAsia="仿宋_GB2312"/>
          <w:sz w:val="32"/>
          <w:szCs w:val="32"/>
        </w:rPr>
        <w:t>2023年度支出总计1,317.47万元，其中：本年支出合计1,298.31万元，结余分配0.00万元，年末结转和结余19.16万元。</w:t>
      </w:r>
    </w:p>
    <w:p w14:paraId="5911CAB5">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增加149.35万元</w:t>
      </w:r>
      <w:r>
        <w:rPr>
          <w:rFonts w:hint="eastAsia" w:ascii="仿宋_GB2312" w:eastAsia="仿宋_GB2312"/>
          <w:sz w:val="32"/>
          <w:szCs w:val="32"/>
        </w:rPr>
        <w:t>，增长12.79%，主要原因是：合并学校调入教师</w:t>
      </w:r>
      <w:r>
        <w:rPr>
          <w:rFonts w:ascii="仿宋_GB2312" w:eastAsia="仿宋_GB2312"/>
          <w:sz w:val="32"/>
          <w:szCs w:val="32"/>
        </w:rPr>
        <w:t>4</w:t>
      </w:r>
      <w:r>
        <w:rPr>
          <w:rFonts w:hint="eastAsia" w:ascii="仿宋_GB2312" w:eastAsia="仿宋_GB2312"/>
          <w:sz w:val="32"/>
          <w:szCs w:val="32"/>
        </w:rPr>
        <w:t>人、薪级工资正常调整、人员工资、住房公积金、社保增加。</w:t>
      </w:r>
    </w:p>
    <w:p w14:paraId="1A9A60D7">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2F81DED7">
      <w:pPr>
        <w:ind w:firstLine="640" w:firstLineChars="200"/>
        <w:jc w:val="left"/>
        <w:rPr>
          <w:rFonts w:ascii="仿宋_GB2312" w:eastAsia="仿宋_GB2312"/>
          <w:sz w:val="32"/>
          <w:szCs w:val="32"/>
        </w:rPr>
      </w:pPr>
      <w:r>
        <w:rPr>
          <w:rFonts w:hint="eastAsia" w:ascii="仿宋_GB2312" w:eastAsia="仿宋_GB2312"/>
          <w:sz w:val="32"/>
          <w:szCs w:val="32"/>
        </w:rPr>
        <w:t>本年收入1,300.66万元，其中：财政拨款收入</w:t>
      </w:r>
      <w:r>
        <w:rPr>
          <w:rFonts w:hint="eastAsia" w:ascii="仿宋_GB2312" w:eastAsia="仿宋_GB2312"/>
          <w:sz w:val="32"/>
          <w:szCs w:val="32"/>
          <w:lang w:val="zh-CN"/>
        </w:rPr>
        <w:t>1,293.31</w:t>
      </w:r>
      <w:r>
        <w:rPr>
          <w:rFonts w:hint="eastAsia" w:ascii="仿宋_GB2312" w:eastAsia="仿宋_GB2312"/>
          <w:sz w:val="32"/>
          <w:szCs w:val="32"/>
        </w:rPr>
        <w:t>万元，占</w:t>
      </w:r>
      <w:r>
        <w:rPr>
          <w:rFonts w:hint="eastAsia" w:ascii="仿宋_GB2312" w:eastAsia="仿宋_GB2312"/>
          <w:sz w:val="32"/>
          <w:szCs w:val="32"/>
          <w:lang w:val="zh-CN"/>
        </w:rPr>
        <w:t>99.43</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7.35</w:t>
      </w:r>
      <w:r>
        <w:rPr>
          <w:rFonts w:hint="eastAsia" w:ascii="仿宋_GB2312" w:eastAsia="仿宋_GB2312"/>
          <w:sz w:val="32"/>
          <w:szCs w:val="32"/>
        </w:rPr>
        <w:t>万元，占</w:t>
      </w:r>
      <w:r>
        <w:rPr>
          <w:rFonts w:hint="eastAsia" w:ascii="仿宋_GB2312" w:eastAsia="仿宋_GB2312"/>
          <w:sz w:val="32"/>
          <w:szCs w:val="32"/>
          <w:lang w:val="zh-CN"/>
        </w:rPr>
        <w:t>0.57</w:t>
      </w:r>
      <w:r>
        <w:rPr>
          <w:rFonts w:hint="eastAsia" w:ascii="仿宋_GB2312" w:eastAsia="仿宋_GB2312"/>
          <w:sz w:val="32"/>
          <w:szCs w:val="32"/>
        </w:rPr>
        <w:t>%。</w:t>
      </w:r>
    </w:p>
    <w:p w14:paraId="244EA391">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77E5B3C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本年支出1,298.31万元，其中：基本支出1,080.36万元，占83.21%；项目支出217.95万元，占16.79%；上缴上级支出0.00万元，占0.00%；经营支出0.00万元，占0.00%；对附属单位补助支出0.00万元，占0.00%。</w:t>
      </w:r>
    </w:p>
    <w:p w14:paraId="422E219F">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7ECCAC3F">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1,296.89</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3.58</w:t>
      </w:r>
      <w:r>
        <w:rPr>
          <w:rFonts w:hint="eastAsia" w:ascii="仿宋_GB2312" w:eastAsia="仿宋_GB2312"/>
          <w:sz w:val="32"/>
          <w:szCs w:val="32"/>
        </w:rPr>
        <w:t>万元，本年财政拨款收入</w:t>
      </w:r>
      <w:r>
        <w:rPr>
          <w:rFonts w:hint="eastAsia" w:ascii="仿宋_GB2312" w:eastAsia="仿宋_GB2312"/>
          <w:sz w:val="32"/>
          <w:szCs w:val="32"/>
          <w:lang w:val="zh-CN"/>
        </w:rPr>
        <w:t>1,293.31</w:t>
      </w:r>
      <w:r>
        <w:rPr>
          <w:rFonts w:hint="eastAsia" w:ascii="仿宋_GB2312" w:eastAsia="仿宋_GB2312"/>
          <w:sz w:val="32"/>
          <w:szCs w:val="32"/>
        </w:rPr>
        <w:t>万元。财政拨款支出总计</w:t>
      </w:r>
      <w:r>
        <w:rPr>
          <w:rFonts w:hint="eastAsia" w:ascii="仿宋_GB2312" w:eastAsia="仿宋_GB2312"/>
          <w:sz w:val="32"/>
          <w:szCs w:val="32"/>
          <w:lang w:val="zh-CN"/>
        </w:rPr>
        <w:t>1,296.89</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3.58</w:t>
      </w:r>
      <w:r>
        <w:rPr>
          <w:rFonts w:hint="eastAsia" w:ascii="仿宋_GB2312" w:eastAsia="仿宋_GB2312"/>
          <w:sz w:val="32"/>
          <w:szCs w:val="32"/>
        </w:rPr>
        <w:t>万元，本年财政拨款支出</w:t>
      </w:r>
      <w:r>
        <w:rPr>
          <w:rFonts w:hint="eastAsia" w:ascii="仿宋_GB2312" w:eastAsia="仿宋_GB2312"/>
          <w:sz w:val="32"/>
          <w:szCs w:val="32"/>
          <w:lang w:val="zh-CN"/>
        </w:rPr>
        <w:t>1,293.31</w:t>
      </w:r>
      <w:r>
        <w:rPr>
          <w:rFonts w:hint="eastAsia" w:ascii="仿宋_GB2312" w:eastAsia="仿宋_GB2312"/>
          <w:sz w:val="32"/>
          <w:szCs w:val="32"/>
        </w:rPr>
        <w:t>万元。</w:t>
      </w:r>
    </w:p>
    <w:p w14:paraId="0CF8E4C7">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增加142.01万元</w:t>
      </w:r>
      <w:r>
        <w:rPr>
          <w:rFonts w:hint="eastAsia" w:ascii="仿宋_GB2312" w:eastAsia="仿宋_GB2312"/>
          <w:sz w:val="32"/>
          <w:szCs w:val="32"/>
        </w:rPr>
        <w:t>，增长12.30%,主要原因是：单位本年学前三年保障机制经费增加。与年初预算相比，年初预算数</w:t>
      </w:r>
      <w:r>
        <w:rPr>
          <w:rFonts w:hint="eastAsia" w:ascii="仿宋_GB2312" w:eastAsia="仿宋_GB2312"/>
          <w:sz w:val="32"/>
          <w:szCs w:val="32"/>
          <w:lang w:val="zh-CN"/>
        </w:rPr>
        <w:t>1,143.63</w:t>
      </w:r>
      <w:r>
        <w:rPr>
          <w:rFonts w:hint="eastAsia" w:ascii="仿宋_GB2312" w:eastAsia="仿宋_GB2312"/>
          <w:sz w:val="32"/>
          <w:szCs w:val="32"/>
        </w:rPr>
        <w:t>万元，决算数</w:t>
      </w:r>
      <w:r>
        <w:rPr>
          <w:rFonts w:hint="eastAsia" w:ascii="仿宋_GB2312" w:eastAsia="仿宋_GB2312"/>
          <w:sz w:val="32"/>
          <w:szCs w:val="32"/>
          <w:lang w:val="zh-CN"/>
        </w:rPr>
        <w:t>1,296.89</w:t>
      </w:r>
      <w:r>
        <w:rPr>
          <w:rFonts w:hint="eastAsia" w:ascii="仿宋_GB2312" w:eastAsia="仿宋_GB2312"/>
          <w:sz w:val="32"/>
          <w:szCs w:val="32"/>
        </w:rPr>
        <w:t>万元，预决算差异率13.40%，主要原因是：年中追加学前三年保障机制项目经费。</w:t>
      </w:r>
    </w:p>
    <w:p w14:paraId="436D4B62">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52F1C511">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20220E8B">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2023年度一般公共预算财政拨款支出1,293.31万元，占本年支出合计的</w:t>
      </w:r>
      <w:r>
        <w:rPr>
          <w:rFonts w:hint="eastAsia" w:ascii="仿宋_GB2312" w:eastAsia="仿宋_GB2312"/>
          <w:sz w:val="32"/>
          <w:szCs w:val="32"/>
          <w:lang w:val="zh-CN"/>
        </w:rPr>
        <w:t>99.61%</w:t>
      </w:r>
      <w:r>
        <w:rPr>
          <w:rFonts w:hint="eastAsia" w:ascii="仿宋_GB2312" w:eastAsia="仿宋_GB2312"/>
          <w:sz w:val="32"/>
          <w:szCs w:val="32"/>
        </w:rPr>
        <w:t>。与上年相比，</w:t>
      </w:r>
      <w:r>
        <w:rPr>
          <w:rFonts w:hint="eastAsia" w:ascii="仿宋_GB2312" w:eastAsia="仿宋_GB2312"/>
          <w:sz w:val="32"/>
          <w:szCs w:val="32"/>
          <w:lang w:val="zh-CN"/>
        </w:rPr>
        <w:t>增加142.01万元</w:t>
      </w:r>
      <w:r>
        <w:rPr>
          <w:rFonts w:hint="eastAsia" w:ascii="仿宋_GB2312" w:eastAsia="仿宋_GB2312"/>
          <w:sz w:val="32"/>
          <w:szCs w:val="32"/>
        </w:rPr>
        <w:t>，增长12.33%,主要原因是：单位本年学前三年保障机制经费增加。与年初预算相比，年初预算数</w:t>
      </w:r>
      <w:r>
        <w:rPr>
          <w:rFonts w:hint="eastAsia" w:ascii="仿宋_GB2312" w:eastAsia="仿宋_GB2312"/>
          <w:sz w:val="32"/>
          <w:szCs w:val="32"/>
          <w:lang w:val="zh-CN"/>
        </w:rPr>
        <w:t>1,143.63</w:t>
      </w:r>
      <w:r>
        <w:rPr>
          <w:rFonts w:hint="eastAsia" w:ascii="仿宋_GB2312" w:eastAsia="仿宋_GB2312"/>
          <w:sz w:val="32"/>
          <w:szCs w:val="32"/>
        </w:rPr>
        <w:t>万元，决算数</w:t>
      </w:r>
      <w:r>
        <w:rPr>
          <w:rFonts w:hint="eastAsia" w:ascii="仿宋_GB2312" w:eastAsia="仿宋_GB2312"/>
          <w:sz w:val="32"/>
          <w:szCs w:val="32"/>
          <w:lang w:val="zh-CN"/>
        </w:rPr>
        <w:t>1,293.31</w:t>
      </w:r>
      <w:r>
        <w:rPr>
          <w:rFonts w:hint="eastAsia" w:ascii="仿宋_GB2312" w:eastAsia="仿宋_GB2312"/>
          <w:sz w:val="32"/>
          <w:szCs w:val="32"/>
        </w:rPr>
        <w:t>万元，预决算差异率</w:t>
      </w:r>
      <w:r>
        <w:rPr>
          <w:rFonts w:hint="eastAsia" w:ascii="仿宋_GB2312" w:eastAsia="仿宋_GB2312"/>
          <w:sz w:val="32"/>
          <w:szCs w:val="32"/>
          <w:lang w:val="zh-CN"/>
        </w:rPr>
        <w:t>13.09%</w:t>
      </w:r>
      <w:r>
        <w:rPr>
          <w:rFonts w:hint="eastAsia" w:ascii="仿宋_GB2312" w:eastAsia="仿宋_GB2312"/>
          <w:sz w:val="32"/>
          <w:szCs w:val="32"/>
        </w:rPr>
        <w:t>，主要原因是：年中追加学前三年保障机制项目经费。</w:t>
      </w:r>
    </w:p>
    <w:p w14:paraId="5594BD84">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463754AF">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1</w:t>
      </w:r>
      <w:r>
        <w:rPr>
          <w:rFonts w:ascii="仿宋_GB2312" w:eastAsia="仿宋_GB2312"/>
          <w:kern w:val="2"/>
          <w:sz w:val="32"/>
          <w:szCs w:val="32"/>
          <w:lang w:val="zh-CN"/>
        </w:rPr>
        <w:t>.教育支出（类）</w:t>
      </w:r>
      <w:r>
        <w:rPr>
          <w:rFonts w:hint="eastAsia" w:ascii="仿宋_GB2312" w:eastAsia="仿宋_GB2312"/>
          <w:kern w:val="2"/>
          <w:sz w:val="32"/>
          <w:szCs w:val="32"/>
          <w:lang w:val="zh-CN"/>
        </w:rPr>
        <w:t>1,226.67</w:t>
      </w:r>
      <w:r>
        <w:rPr>
          <w:rFonts w:ascii="仿宋_GB2312" w:eastAsia="仿宋_GB2312"/>
          <w:kern w:val="2"/>
          <w:sz w:val="32"/>
          <w:szCs w:val="32"/>
          <w:lang w:val="zh-CN"/>
        </w:rPr>
        <w:t>万元，占</w:t>
      </w:r>
      <w:r>
        <w:rPr>
          <w:rFonts w:hint="eastAsia" w:ascii="仿宋_GB2312" w:eastAsia="仿宋_GB2312"/>
          <w:kern w:val="2"/>
          <w:sz w:val="32"/>
          <w:szCs w:val="32"/>
          <w:lang w:val="zh-CN"/>
        </w:rPr>
        <w:t>94.85</w:t>
      </w:r>
      <w:r>
        <w:rPr>
          <w:rFonts w:ascii="仿宋_GB2312" w:eastAsia="仿宋_GB2312"/>
          <w:kern w:val="2"/>
          <w:sz w:val="32"/>
          <w:szCs w:val="32"/>
          <w:lang w:val="zh-CN"/>
        </w:rPr>
        <w:t>%；</w:t>
      </w:r>
    </w:p>
    <w:p w14:paraId="53B88E59">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66.64</w:t>
      </w:r>
      <w:r>
        <w:rPr>
          <w:rFonts w:ascii="仿宋_GB2312" w:eastAsia="仿宋_GB2312"/>
          <w:kern w:val="2"/>
          <w:sz w:val="32"/>
          <w:szCs w:val="32"/>
          <w:lang w:val="zh-CN"/>
        </w:rPr>
        <w:t>万元，占</w:t>
      </w:r>
      <w:r>
        <w:rPr>
          <w:rFonts w:hint="eastAsia" w:ascii="仿宋_GB2312" w:eastAsia="仿宋_GB2312"/>
          <w:kern w:val="2"/>
          <w:sz w:val="32"/>
          <w:szCs w:val="32"/>
          <w:lang w:val="zh-CN"/>
        </w:rPr>
        <w:t>5.15</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6A39BED3">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445AA455">
      <w:pPr>
        <w:pStyle w:val="8"/>
        <w:widowControl/>
        <w:spacing w:before="0" w:beforeAutospacing="0" w:after="0" w:afterAutospacing="0"/>
        <w:ind w:firstLine="640" w:firstLineChars="200"/>
        <w:rPr>
          <w:rFonts w:ascii="仿宋_GB2312" w:eastAsia="仿宋_GB2312"/>
          <w:kern w:val="2"/>
          <w:sz w:val="32"/>
          <w:szCs w:val="32"/>
        </w:rPr>
      </w:pPr>
      <w:r>
        <w:rPr>
          <w:rFonts w:hint="eastAsia" w:ascii="仿宋_GB2312" w:eastAsia="仿宋_GB2312"/>
          <w:kern w:val="2"/>
          <w:sz w:val="32"/>
          <w:szCs w:val="32"/>
        </w:rPr>
        <w:t>1.教育支出（类）教育费附加安排的支出（款）其他教育费附加安排的支出（项）:支出决算数为3.69万元，比上年决算增加3.69万元，增长100%，主要原因是：单位本年</w:t>
      </w:r>
      <w:r>
        <w:rPr>
          <w:rFonts w:hint="eastAsia" w:ascii="仿宋_GB2312" w:eastAsia="仿宋_GB2312"/>
          <w:kern w:val="2"/>
          <w:sz w:val="32"/>
          <w:szCs w:val="32"/>
          <w:lang w:val="zh-CN"/>
        </w:rPr>
        <w:t>课后服务项目经费</w:t>
      </w:r>
      <w:r>
        <w:rPr>
          <w:rFonts w:hint="eastAsia" w:ascii="仿宋_GB2312" w:eastAsia="仿宋_GB2312"/>
          <w:kern w:val="2"/>
          <w:sz w:val="32"/>
          <w:szCs w:val="32"/>
        </w:rPr>
        <w:t>增加。</w:t>
      </w:r>
    </w:p>
    <w:p w14:paraId="645F1822">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2.社会保障和就业支出（类）抚恤（款）死亡抚恤（项）:支出决算数为12.43万元，比上年决算增加0.5</w:t>
      </w:r>
      <w:r>
        <w:rPr>
          <w:rFonts w:hint="eastAsia" w:ascii="仿宋_GB2312" w:eastAsia="仿宋_GB2312"/>
          <w:kern w:val="2"/>
          <w:sz w:val="32"/>
          <w:szCs w:val="32"/>
          <w:lang w:val="en-US" w:eastAsia="zh-CN"/>
        </w:rPr>
        <w:t>5</w:t>
      </w:r>
      <w:r>
        <w:rPr>
          <w:rFonts w:hint="eastAsia" w:ascii="仿宋_GB2312" w:eastAsia="仿宋_GB2312"/>
          <w:kern w:val="2"/>
          <w:sz w:val="32"/>
          <w:szCs w:val="32"/>
        </w:rPr>
        <w:t>万元，增长4.6</w:t>
      </w:r>
      <w:r>
        <w:rPr>
          <w:rFonts w:hint="eastAsia" w:ascii="仿宋_GB2312" w:eastAsia="仿宋_GB2312"/>
          <w:kern w:val="2"/>
          <w:sz w:val="32"/>
          <w:szCs w:val="32"/>
          <w:lang w:val="en-US" w:eastAsia="zh-CN"/>
        </w:rPr>
        <w:t>3</w:t>
      </w:r>
      <w:r>
        <w:rPr>
          <w:rFonts w:hint="eastAsia" w:ascii="仿宋_GB2312" w:eastAsia="仿宋_GB2312"/>
          <w:kern w:val="2"/>
          <w:sz w:val="32"/>
          <w:szCs w:val="32"/>
        </w:rPr>
        <w:t>%，主要原因是：单位本年</w:t>
      </w:r>
      <w:r>
        <w:rPr>
          <w:rFonts w:hint="eastAsia" w:eastAsia="仿宋_GB2312"/>
          <w:sz w:val="32"/>
          <w:szCs w:val="32"/>
          <w:lang w:val="zh-CN"/>
        </w:rPr>
        <w:t>退休教师</w:t>
      </w:r>
      <w:r>
        <w:rPr>
          <w:rFonts w:hint="eastAsia" w:ascii="仿宋_GB2312" w:eastAsia="仿宋_GB2312"/>
          <w:kern w:val="2"/>
          <w:sz w:val="32"/>
          <w:szCs w:val="32"/>
        </w:rPr>
        <w:t>死亡1</w:t>
      </w:r>
      <w:r>
        <w:rPr>
          <w:rFonts w:hint="eastAsia" w:eastAsia="仿宋_GB2312"/>
          <w:sz w:val="32"/>
          <w:szCs w:val="32"/>
          <w:lang w:val="zh-CN"/>
        </w:rPr>
        <w:t>人，丧葬</w:t>
      </w:r>
      <w:r>
        <w:rPr>
          <w:rFonts w:hint="eastAsia" w:ascii="仿宋_GB2312" w:eastAsia="仿宋_GB2312"/>
          <w:kern w:val="2"/>
          <w:sz w:val="32"/>
          <w:szCs w:val="32"/>
        </w:rPr>
        <w:t>抚恤金增加</w:t>
      </w:r>
      <w:r>
        <w:rPr>
          <w:rFonts w:hint="eastAsia" w:eastAsia="仿宋_GB2312"/>
          <w:sz w:val="32"/>
          <w:szCs w:val="32"/>
          <w:lang w:val="zh-CN"/>
        </w:rPr>
        <w:t>。</w:t>
      </w:r>
    </w:p>
    <w:p w14:paraId="2F2DC697">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3.教育支出（类）普通教育（款）小学教育（项）:支出决算数为979.49万元，比上年决算增加49.73万元，增长5.35%，主要原因是：合并学校调入教师</w:t>
      </w:r>
      <w:r>
        <w:rPr>
          <w:rFonts w:ascii="仿宋_GB2312" w:eastAsia="仿宋_GB2312"/>
          <w:sz w:val="32"/>
          <w:szCs w:val="32"/>
        </w:rPr>
        <w:t>4</w:t>
      </w:r>
      <w:r>
        <w:rPr>
          <w:rFonts w:hint="eastAsia" w:ascii="仿宋_GB2312" w:eastAsia="仿宋_GB2312"/>
          <w:sz w:val="32"/>
          <w:szCs w:val="32"/>
        </w:rPr>
        <w:t>人、薪级工资正常调整、人员工资、住房公积金、社保增加。</w:t>
      </w:r>
    </w:p>
    <w:p w14:paraId="0A285A76">
      <w:pPr>
        <w:ind w:firstLine="640" w:firstLineChars="200"/>
        <w:rPr>
          <w:rFonts w:ascii="仿宋_GB2312" w:eastAsia="仿宋_GB2312"/>
          <w:sz w:val="32"/>
          <w:szCs w:val="32"/>
          <w:lang w:val="zh-CN"/>
        </w:rPr>
      </w:pPr>
      <w:r>
        <w:rPr>
          <w:rFonts w:hint="eastAsia" w:ascii="仿宋_GB2312" w:eastAsia="仿宋_GB2312"/>
          <w:sz w:val="32"/>
          <w:szCs w:val="32"/>
        </w:rPr>
        <w:t>4.社会保障和就业支出（类）行政事业单位养老支出（款）事业单位离退休（项）:支出决算数为26.72万元，比上年决算增加16.03万元，增长1</w:t>
      </w:r>
      <w:r>
        <w:rPr>
          <w:rFonts w:hint="eastAsia" w:ascii="仿宋_GB2312" w:eastAsia="仿宋_GB2312"/>
          <w:sz w:val="32"/>
          <w:szCs w:val="32"/>
          <w:lang w:val="en-US" w:eastAsia="zh-CN"/>
        </w:rPr>
        <w:t>49</w:t>
      </w:r>
      <w:r>
        <w:rPr>
          <w:rFonts w:hint="eastAsia" w:ascii="仿宋_GB2312" w:eastAsia="仿宋_GB2312"/>
          <w:sz w:val="32"/>
          <w:szCs w:val="32"/>
        </w:rPr>
        <w:t>.</w:t>
      </w:r>
      <w:r>
        <w:rPr>
          <w:rFonts w:hint="eastAsia" w:ascii="仿宋_GB2312" w:eastAsia="仿宋_GB2312"/>
          <w:sz w:val="32"/>
          <w:szCs w:val="32"/>
          <w:lang w:val="en-US" w:eastAsia="zh-CN"/>
        </w:rPr>
        <w:t>95</w:t>
      </w:r>
      <w:r>
        <w:rPr>
          <w:rFonts w:hint="eastAsia" w:ascii="仿宋_GB2312" w:eastAsia="仿宋_GB2312"/>
          <w:sz w:val="32"/>
          <w:szCs w:val="32"/>
        </w:rPr>
        <w:t>%，主要原因是：单位本年退休人员增加，相应退休补助费用增加</w:t>
      </w:r>
      <w:r>
        <w:rPr>
          <w:rFonts w:hint="eastAsia" w:ascii="仿宋_GB2312" w:eastAsia="仿宋_GB2312"/>
          <w:sz w:val="32"/>
          <w:szCs w:val="32"/>
          <w:lang w:val="zh-CN"/>
        </w:rPr>
        <w:t>。</w:t>
      </w:r>
    </w:p>
    <w:p w14:paraId="49231EE8">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5.教育支出（类）普通教育（款）学前教育（项）:支出决算数为243.49万元，比上年决算增加73.79万元，增长43.48%，主要原因是：合并学校调入教师</w:t>
      </w:r>
      <w:r>
        <w:rPr>
          <w:rFonts w:ascii="仿宋_GB2312" w:eastAsia="仿宋_GB2312"/>
          <w:sz w:val="32"/>
          <w:szCs w:val="32"/>
        </w:rPr>
        <w:t>4</w:t>
      </w:r>
      <w:r>
        <w:rPr>
          <w:rFonts w:hint="eastAsia" w:ascii="仿宋_GB2312" w:eastAsia="仿宋_GB2312"/>
          <w:sz w:val="32"/>
          <w:szCs w:val="32"/>
        </w:rPr>
        <w:t>人、薪级工资正常调整、人员工资、住房公积金、社保增加。</w:t>
      </w:r>
    </w:p>
    <w:p w14:paraId="63659367">
      <w:pPr>
        <w:pStyle w:val="8"/>
        <w:widowControl/>
        <w:spacing w:before="0" w:beforeAutospacing="0" w:after="0" w:afterAutospacing="0"/>
        <w:ind w:firstLine="640" w:firstLineChars="200"/>
        <w:rPr>
          <w:rFonts w:ascii="仿宋_GB2312" w:eastAsia="仿宋_GB2312"/>
          <w:kern w:val="2"/>
          <w:sz w:val="32"/>
          <w:szCs w:val="32"/>
        </w:rPr>
      </w:pPr>
      <w:r>
        <w:rPr>
          <w:rFonts w:hint="eastAsia" w:ascii="仿宋_GB2312" w:eastAsia="仿宋_GB2312"/>
          <w:kern w:val="2"/>
          <w:sz w:val="32"/>
          <w:szCs w:val="32"/>
        </w:rPr>
        <w:t>6.社会保障和就业支出（类）行政事业单位养老支出（款）机关事业单位职业年金缴费支出（项）:支出决算数为27.49万元，比上年决算增加7.69万元，增长38.8</w:t>
      </w:r>
      <w:r>
        <w:rPr>
          <w:rFonts w:hint="eastAsia" w:ascii="仿宋_GB2312" w:eastAsia="仿宋_GB2312"/>
          <w:kern w:val="2"/>
          <w:sz w:val="32"/>
          <w:szCs w:val="32"/>
          <w:lang w:val="en-US" w:eastAsia="zh-CN"/>
        </w:rPr>
        <w:t>4</w:t>
      </w:r>
      <w:bookmarkStart w:id="48" w:name="_GoBack"/>
      <w:bookmarkEnd w:id="48"/>
      <w:r>
        <w:rPr>
          <w:rFonts w:hint="eastAsia" w:ascii="仿宋_GB2312" w:eastAsia="仿宋_GB2312"/>
          <w:kern w:val="2"/>
          <w:sz w:val="32"/>
          <w:szCs w:val="32"/>
        </w:rPr>
        <w:t>%，主要原因是：单位本年退休人员增加，职业年金缴费增加。</w:t>
      </w:r>
    </w:p>
    <w:p w14:paraId="4AD4D08D">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7.教育支出（类）教育费附加安排的支出（款）农村中小学校舍建设（项）:支出决算数为0.00万元，比上年决算减少8.40万元，下降100%，主要原因是：单位本年减少小学教育维修费项目</w:t>
      </w:r>
      <w:r>
        <w:rPr>
          <w:rFonts w:hint="eastAsia" w:ascii="仿宋_GB2312" w:eastAsia="仿宋_GB2312"/>
          <w:kern w:val="2"/>
          <w:sz w:val="32"/>
          <w:szCs w:val="32"/>
          <w:lang w:val="zh-CN"/>
        </w:rPr>
        <w:t>。</w:t>
      </w:r>
    </w:p>
    <w:p w14:paraId="61518DE8">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8.教育支出（类）教育费附加安排的支出（款）农村中小学教学设施（项）:支出决算数为0.00万元，比上年决算减少1.07万元，下降100%，主要原因是：单位本年减少小学教育办公费</w:t>
      </w:r>
      <w:r>
        <w:rPr>
          <w:rFonts w:hint="eastAsia" w:ascii="仿宋_GB2312" w:eastAsia="仿宋_GB2312"/>
          <w:kern w:val="2"/>
          <w:sz w:val="32"/>
          <w:szCs w:val="32"/>
          <w:lang w:val="zh-CN"/>
        </w:rPr>
        <w:t>。</w:t>
      </w:r>
    </w:p>
    <w:p w14:paraId="10BDF193">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61E94448">
      <w:pPr>
        <w:pStyle w:val="8"/>
        <w:widowControl/>
        <w:spacing w:before="0" w:beforeAutospacing="0" w:after="0" w:afterAutospacing="0"/>
        <w:ind w:firstLine="640" w:firstLineChars="200"/>
        <w:rPr>
          <w:rFonts w:ascii="仿宋_GB2312" w:eastAsia="仿宋_GB2312"/>
          <w:kern w:val="2"/>
          <w:sz w:val="32"/>
          <w:szCs w:val="32"/>
        </w:rPr>
      </w:pPr>
      <w:r>
        <w:rPr>
          <w:rFonts w:hint="eastAsia" w:ascii="仿宋_GB2312" w:eastAsia="仿宋_GB2312"/>
          <w:kern w:val="2"/>
          <w:sz w:val="32"/>
          <w:szCs w:val="32"/>
        </w:rPr>
        <w:t>2023年度一般公共预算财政拨款基本支出1,075.36万元，其中：人员经费1,037.93万元，包括：基本工资、津贴补贴、奖金、机关事业单位基本养老保险缴费、职业年金缴费、职工基本医疗保险缴费、其他社会保障缴费、住房公积金、退休费、生活补助、奖励金、其他对个人和家庭的补助。</w:t>
      </w:r>
    </w:p>
    <w:p w14:paraId="4CED5A9E">
      <w:pPr>
        <w:pStyle w:val="8"/>
        <w:widowControl/>
        <w:spacing w:before="0" w:beforeAutospacing="0" w:after="0" w:afterAutospacing="0"/>
        <w:ind w:firstLine="640" w:firstLineChars="200"/>
        <w:rPr>
          <w:rFonts w:ascii="仿宋_GB2312" w:eastAsia="仿宋_GB2312"/>
          <w:kern w:val="2"/>
          <w:sz w:val="32"/>
          <w:szCs w:val="32"/>
        </w:rPr>
      </w:pPr>
      <w:r>
        <w:rPr>
          <w:rFonts w:hint="eastAsia" w:ascii="仿宋_GB2312" w:eastAsia="仿宋_GB2312"/>
          <w:kern w:val="2"/>
          <w:sz w:val="32"/>
          <w:szCs w:val="32"/>
        </w:rPr>
        <w:t>公用经费37.43万元，包括：办公费、电费、邮电费、取暖费、专用材料费、公务用车运行维护费。</w:t>
      </w:r>
    </w:p>
    <w:p w14:paraId="48BA3EC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2C07614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“三公”经费支出0.30万元，</w:t>
      </w:r>
      <w:r>
        <w:rPr>
          <w:rFonts w:hint="eastAsia" w:ascii="仿宋_GB2312" w:eastAsia="仿宋_GB2312"/>
          <w:sz w:val="32"/>
          <w:szCs w:val="32"/>
        </w:rPr>
        <w:t>比上年</w:t>
      </w:r>
      <w:r>
        <w:rPr>
          <w:rFonts w:hint="eastAsia" w:ascii="仿宋_GB2312" w:eastAsia="仿宋_GB2312"/>
          <w:sz w:val="32"/>
          <w:szCs w:val="32"/>
          <w:lang w:val="zh-CN"/>
        </w:rPr>
        <w:t>减少0.59万元，</w:t>
      </w:r>
      <w:r>
        <w:rPr>
          <w:rFonts w:hint="eastAsia" w:ascii="仿宋_GB2312" w:eastAsia="仿宋_GB2312"/>
          <w:sz w:val="32"/>
          <w:szCs w:val="32"/>
        </w:rPr>
        <w:t>下降66.29%,</w:t>
      </w:r>
      <w:r>
        <w:rPr>
          <w:rFonts w:hint="eastAsia" w:ascii="仿宋_GB2312" w:eastAsia="仿宋_GB2312"/>
          <w:sz w:val="32"/>
          <w:szCs w:val="32"/>
          <w:lang w:val="zh-CN"/>
        </w:rPr>
        <w:t>主要原因是：本年车辆使用</w:t>
      </w:r>
      <w:r>
        <w:rPr>
          <w:rFonts w:hint="eastAsia" w:ascii="仿宋_GB2312" w:eastAsia="仿宋_GB2312"/>
          <w:sz w:val="32"/>
          <w:szCs w:val="32"/>
        </w:rPr>
        <w:t>减少</w:t>
      </w:r>
      <w:r>
        <w:rPr>
          <w:rFonts w:hint="eastAsia" w:ascii="仿宋_GB2312" w:eastAsia="仿宋_GB2312"/>
          <w:sz w:val="32"/>
          <w:szCs w:val="32"/>
          <w:lang w:val="zh-CN"/>
        </w:rPr>
        <w:t>，车辆燃油费、过路费</w:t>
      </w:r>
      <w:r>
        <w:rPr>
          <w:rFonts w:hint="eastAsia" w:ascii="仿宋_GB2312" w:eastAsia="仿宋_GB2312"/>
          <w:sz w:val="32"/>
          <w:szCs w:val="32"/>
        </w:rPr>
        <w:t>减少</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主要原因是：单位本年无此项经费；公务用车购置及运行维护费支出0.30万元，占100.00%，比上年减少0.59万元，</w:t>
      </w:r>
      <w:r>
        <w:rPr>
          <w:rFonts w:hint="eastAsia" w:ascii="仿宋_GB2312" w:eastAsia="仿宋_GB2312"/>
          <w:sz w:val="32"/>
          <w:szCs w:val="32"/>
        </w:rPr>
        <w:t>下降66.29%,</w:t>
      </w:r>
      <w:r>
        <w:rPr>
          <w:rFonts w:hint="eastAsia" w:ascii="仿宋_GB2312" w:eastAsia="仿宋_GB2312"/>
          <w:sz w:val="32"/>
          <w:szCs w:val="32"/>
          <w:lang w:val="zh-CN"/>
        </w:rPr>
        <w:t>主要原因是：本年车辆使用</w:t>
      </w:r>
      <w:r>
        <w:rPr>
          <w:rFonts w:hint="eastAsia" w:ascii="仿宋_GB2312" w:eastAsia="仿宋_GB2312"/>
          <w:sz w:val="32"/>
          <w:szCs w:val="32"/>
        </w:rPr>
        <w:t>减少</w:t>
      </w:r>
      <w:r>
        <w:rPr>
          <w:rFonts w:hint="eastAsia" w:ascii="仿宋_GB2312" w:eastAsia="仿宋_GB2312"/>
          <w:sz w:val="32"/>
          <w:szCs w:val="32"/>
          <w:lang w:val="zh-CN"/>
        </w:rPr>
        <w:t>，车辆燃油费、过路费</w:t>
      </w:r>
      <w:r>
        <w:rPr>
          <w:rFonts w:hint="eastAsia" w:ascii="仿宋_GB2312" w:eastAsia="仿宋_GB2312"/>
          <w:sz w:val="32"/>
          <w:szCs w:val="32"/>
        </w:rPr>
        <w:t>减少</w:t>
      </w:r>
      <w:r>
        <w:rPr>
          <w:rFonts w:hint="eastAsia" w:ascii="仿宋_GB2312" w:eastAsia="仿宋_GB2312"/>
          <w:sz w:val="32"/>
          <w:szCs w:val="32"/>
          <w:lang w:val="zh-CN"/>
        </w:rPr>
        <w:t>；公务接待费支出0.00万元，占0.00%，比上年增加0.00万元，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322B22A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3BDE30C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rPr>
        <w:t>单位本年无此项经费</w:t>
      </w:r>
      <w:r>
        <w:rPr>
          <w:rFonts w:hint="eastAsia" w:ascii="仿宋_GB2312" w:eastAsia="仿宋_GB2312"/>
          <w:sz w:val="32"/>
          <w:szCs w:val="32"/>
          <w:lang w:val="zh-CN"/>
        </w:rPr>
        <w:t>。单位全年安排的因公出国（境）团组0个，因公出国（境）0人次。</w:t>
      </w:r>
    </w:p>
    <w:p w14:paraId="5602D5CE">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0.30万元，其中：公务用车购置费0.00万元，公务用车运行维护费0.30万元。公务用车运行维护费开支内容包括公务用车燃油费、车辆维修维护费、保险费、过路费等。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本单位固定资产车辆与公务用车保有量一致无差异</w:t>
      </w:r>
      <w:r>
        <w:rPr>
          <w:rFonts w:hint="eastAsia" w:ascii="仿宋_GB2312" w:eastAsia="仿宋_GB2312"/>
          <w:sz w:val="32"/>
          <w:szCs w:val="32"/>
          <w:lang w:val="zh-CN"/>
        </w:rPr>
        <w:t>。</w:t>
      </w:r>
    </w:p>
    <w:p w14:paraId="45D1158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0134BAA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预算数0.30万元，决算数0.30万元，预决算差异率0.00%，主要原因是：严格按预算执行，预决算对比无差异。其中：因公出国（境）费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预算数0.30万元，决算数0.30万元，预决算差异率0.00%，主要原因是：严格按预算执行，预决算对比无差异；公务接待费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w:t>
      </w:r>
    </w:p>
    <w:p w14:paraId="5EE8AEB8">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1F83A8D5">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18F0A61C">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63213286">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0B9C1AEC">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7EC173D9">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5E863ACD">
      <w:pPr>
        <w:ind w:firstLine="640" w:firstLineChars="200"/>
        <w:jc w:val="left"/>
        <w:rPr>
          <w:rFonts w:hint="eastAsia" w:ascii="仿宋_GB2312" w:hAnsi="仿宋_GB2312" w:eastAsia="仿宋_GB2312" w:cs="仿宋_GB2312"/>
          <w:kern w:val="0"/>
          <w:sz w:val="32"/>
          <w:szCs w:val="32"/>
        </w:rPr>
      </w:pPr>
      <w:bookmarkStart w:id="24" w:name="_Toc227"/>
      <w:bookmarkStart w:id="25" w:name="_Toc26704"/>
      <w:r>
        <w:rPr>
          <w:rFonts w:hint="eastAsia" w:ascii="仿宋_GB2312" w:hAnsi="仿宋_GB2312" w:eastAsia="仿宋_GB2312" w:cs="仿宋_GB2312"/>
          <w:kern w:val="0"/>
          <w:sz w:val="32"/>
          <w:szCs w:val="32"/>
          <w:lang w:val="zh-CN"/>
        </w:rPr>
        <w:t>2023年度</w:t>
      </w:r>
      <w:r>
        <w:rPr>
          <w:rFonts w:hint="eastAsia" w:ascii="仿宋_GB2312" w:hAnsi="仿宋_GB2312" w:eastAsia="仿宋_GB2312" w:cs="仿宋_GB2312"/>
          <w:kern w:val="0"/>
          <w:sz w:val="32"/>
          <w:szCs w:val="32"/>
        </w:rPr>
        <w:t>木垒哈萨克自治县新户镇中心学校（事业单位）公用经费支出37.43万元，</w:t>
      </w:r>
      <w:r>
        <w:rPr>
          <w:rFonts w:hint="eastAsia" w:ascii="仿宋_GB2312" w:hAnsi="仿宋_GB2312" w:eastAsia="仿宋_GB2312" w:cs="仿宋_GB2312"/>
          <w:kern w:val="0"/>
          <w:sz w:val="32"/>
          <w:szCs w:val="32"/>
          <w:lang w:val="zh-CN"/>
        </w:rPr>
        <w:t>比上年减少1.27万元，下降3.28%，主要原因是：</w:t>
      </w:r>
      <w:r>
        <w:rPr>
          <w:rFonts w:hint="eastAsia" w:ascii="仿宋_GB2312" w:hAnsi="仿宋_GB2312" w:eastAsia="仿宋_GB2312" w:cs="仿宋_GB2312"/>
          <w:kern w:val="0"/>
          <w:sz w:val="32"/>
          <w:szCs w:val="32"/>
        </w:rPr>
        <w:t>单位本年</w:t>
      </w:r>
      <w:r>
        <w:rPr>
          <w:rFonts w:hint="eastAsia" w:ascii="仿宋_GB2312" w:eastAsia="仿宋_GB2312"/>
          <w:sz w:val="32"/>
          <w:szCs w:val="32"/>
        </w:rPr>
        <w:t>办公费、专用材料费、公务用车运行维护费减少</w:t>
      </w:r>
      <w:r>
        <w:rPr>
          <w:rFonts w:hint="eastAsia" w:ascii="仿宋_GB2312" w:hAnsi="仿宋_GB2312" w:eastAsia="仿宋_GB2312" w:cs="仿宋_GB2312"/>
          <w:kern w:val="0"/>
          <w:sz w:val="32"/>
          <w:szCs w:val="32"/>
        </w:rPr>
        <w:t>。</w:t>
      </w:r>
    </w:p>
    <w:p w14:paraId="5E8AA4C2">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07DFA1F6">
      <w:pPr>
        <w:ind w:firstLine="640" w:firstLineChars="200"/>
        <w:jc w:val="left"/>
        <w:rPr>
          <w:rFonts w:hint="eastAsia" w:ascii="仿宋_GB2312" w:hAnsi="仿宋_GB2312" w:eastAsia="仿宋_GB2312" w:cs="仿宋_GB2312"/>
          <w:kern w:val="0"/>
          <w:sz w:val="32"/>
          <w:szCs w:val="32"/>
          <w:lang w:val="zh-CN"/>
        </w:rPr>
      </w:pPr>
      <w:r>
        <w:rPr>
          <w:rFonts w:hint="eastAsia" w:ascii="仿宋_GB2312" w:hAnsi="仿宋_GB2312" w:eastAsia="仿宋_GB2312" w:cs="仿宋_GB2312"/>
          <w:kern w:val="0"/>
          <w:sz w:val="32"/>
          <w:szCs w:val="32"/>
          <w:lang w:val="zh-CN"/>
        </w:rPr>
        <w:t>2023年度政府采购支出总额0.00万元，其中：政府采购货物支出0.00万元、政府采购工程支出0.00万元、政府采购服务支出0.00万元。</w:t>
      </w:r>
    </w:p>
    <w:p w14:paraId="29551B08">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zh-CN"/>
        </w:rPr>
        <w:t>授予中小企业合同金额0.00万元，占政府采购支出总额的0.00</w:t>
      </w:r>
      <w:r>
        <w:rPr>
          <w:rFonts w:ascii="仿宋_GB2312" w:hAnsi="仿宋_GB2312" w:eastAsia="仿宋_GB2312" w:cs="仿宋_GB2312"/>
          <w:kern w:val="0"/>
          <w:sz w:val="32"/>
          <w:szCs w:val="32"/>
          <w:lang w:val="zh-CN"/>
        </w:rPr>
        <w:t>%</w:t>
      </w:r>
      <w:r>
        <w:rPr>
          <w:rFonts w:hint="eastAsia" w:ascii="仿宋_GB2312" w:hAnsi="仿宋_GB2312" w:eastAsia="仿宋_GB2312" w:cs="仿宋_GB2312"/>
          <w:kern w:val="0"/>
          <w:sz w:val="32"/>
          <w:szCs w:val="32"/>
          <w:lang w:val="zh-CN"/>
        </w:rPr>
        <w:t>，其中：授予小微企业合同金额0.00万元，占政府采购支出总额的0.00</w:t>
      </w:r>
      <w:r>
        <w:rPr>
          <w:rFonts w:ascii="仿宋_GB2312" w:hAnsi="仿宋_GB2312" w:eastAsia="仿宋_GB2312" w:cs="仿宋_GB2312"/>
          <w:kern w:val="0"/>
          <w:sz w:val="32"/>
          <w:szCs w:val="32"/>
          <w:lang w:val="zh-CN"/>
        </w:rPr>
        <w:t>%</w:t>
      </w:r>
      <w:r>
        <w:rPr>
          <w:rFonts w:hint="eastAsia" w:ascii="仿宋_GB2312" w:hAnsi="仿宋_GB2312" w:eastAsia="仿宋_GB2312" w:cs="仿宋_GB2312"/>
          <w:kern w:val="0"/>
          <w:sz w:val="32"/>
          <w:szCs w:val="32"/>
        </w:rPr>
        <w:t>。</w:t>
      </w:r>
    </w:p>
    <w:p w14:paraId="40FAD261">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7165B039">
      <w:pPr>
        <w:ind w:firstLine="640" w:firstLineChars="200"/>
        <w:jc w:val="left"/>
        <w:rPr>
          <w:rFonts w:hint="eastAsia" w:ascii="仿宋_GB2312" w:hAnsi="仿宋_GB2312" w:eastAsia="仿宋_GB2312" w:cs="仿宋_GB2312"/>
          <w:kern w:val="0"/>
          <w:sz w:val="32"/>
          <w:szCs w:val="32"/>
          <w:lang w:val="zh-CN"/>
        </w:rPr>
      </w:pPr>
      <w:r>
        <w:rPr>
          <w:rFonts w:hint="eastAsia" w:ascii="仿宋_GB2312" w:hAnsi="仿宋_GB2312" w:eastAsia="仿宋_GB2312" w:cs="仿宋_GB2312"/>
          <w:kern w:val="0"/>
          <w:sz w:val="32"/>
          <w:szCs w:val="32"/>
        </w:rPr>
        <w:t>截至2023</w:t>
      </w:r>
      <w:r>
        <w:rPr>
          <w:rFonts w:hint="eastAsia" w:ascii="仿宋_GB2312" w:hAnsi="仿宋_GB2312" w:eastAsia="仿宋_GB2312" w:cs="仿宋_GB2312"/>
          <w:kern w:val="0"/>
          <w:sz w:val="32"/>
          <w:szCs w:val="32"/>
          <w:lang w:val="zh-CN"/>
        </w:rPr>
        <w:t>年</w:t>
      </w:r>
      <w:r>
        <w:rPr>
          <w:rFonts w:hint="eastAsia" w:ascii="仿宋_GB2312" w:hAnsi="仿宋_GB2312" w:eastAsia="仿宋_GB2312" w:cs="仿宋_GB2312"/>
          <w:kern w:val="0"/>
          <w:sz w:val="32"/>
          <w:szCs w:val="32"/>
        </w:rPr>
        <w:t>12月31日</w:t>
      </w:r>
      <w:r>
        <w:rPr>
          <w:rFonts w:hint="eastAsia" w:ascii="仿宋_GB2312" w:hAnsi="仿宋_GB2312" w:eastAsia="仿宋_GB2312" w:cs="仿宋_GB2312"/>
          <w:kern w:val="0"/>
          <w:sz w:val="32"/>
          <w:szCs w:val="32"/>
          <w:lang w:val="zh-CN"/>
        </w:rPr>
        <w:t>，</w:t>
      </w:r>
      <w:r>
        <w:rPr>
          <w:rFonts w:hint="eastAsia" w:ascii="仿宋_GB2312" w:hAnsi="仿宋_GB2312" w:eastAsia="仿宋_GB2312" w:cs="仿宋_GB2312"/>
          <w:kern w:val="0"/>
          <w:sz w:val="32"/>
          <w:szCs w:val="32"/>
        </w:rPr>
        <w:t>固定资产原值</w:t>
      </w:r>
      <w:r>
        <w:rPr>
          <w:rFonts w:hint="eastAsia" w:ascii="仿宋_GB2312" w:hAnsi="仿宋_GB2312" w:eastAsia="仿宋_GB2312" w:cs="仿宋_GB2312"/>
          <w:kern w:val="0"/>
          <w:sz w:val="32"/>
          <w:szCs w:val="32"/>
          <w:lang w:val="zh-CN"/>
        </w:rPr>
        <w:t>1,895.93</w:t>
      </w:r>
      <w:r>
        <w:rPr>
          <w:rFonts w:hint="eastAsia" w:ascii="仿宋_GB2312" w:hAnsi="仿宋_GB2312" w:eastAsia="仿宋_GB2312" w:cs="仿宋_GB2312"/>
          <w:kern w:val="0"/>
          <w:sz w:val="32"/>
          <w:szCs w:val="32"/>
        </w:rPr>
        <w:t>万元，房</w:t>
      </w:r>
      <w:r>
        <w:rPr>
          <w:rFonts w:hint="eastAsia" w:ascii="仿宋_GB2312" w:hAnsi="仿宋_GB2312" w:eastAsia="仿宋_GB2312" w:cs="仿宋_GB2312"/>
          <w:kern w:val="0"/>
          <w:sz w:val="32"/>
          <w:szCs w:val="32"/>
          <w:lang w:val="zh-CN"/>
        </w:rPr>
        <w:t>屋8</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zh-CN"/>
        </w:rPr>
        <w:t>349.5</w:t>
      </w:r>
      <w:r>
        <w:rPr>
          <w:rFonts w:hint="eastAsia" w:ascii="仿宋_GB2312" w:hAnsi="仿宋_GB2312" w:eastAsia="仿宋_GB2312" w:cs="仿宋_GB2312"/>
          <w:kern w:val="0"/>
          <w:sz w:val="32"/>
          <w:szCs w:val="32"/>
        </w:rPr>
        <w:t>0</w:t>
      </w:r>
      <w:r>
        <w:rPr>
          <w:rFonts w:hint="eastAsia" w:ascii="仿宋_GB2312" w:hAnsi="仿宋_GB2312" w:eastAsia="仿宋_GB2312" w:cs="仿宋_GB2312"/>
          <w:kern w:val="0"/>
          <w:sz w:val="32"/>
          <w:szCs w:val="32"/>
          <w:lang w:val="zh-CN"/>
        </w:rPr>
        <w:t>平方米，价值1,639.05万元。车辆1辆，价值9.28万元，其中：副部（省）级及以上领导用车0辆、主要</w:t>
      </w:r>
      <w:r>
        <w:rPr>
          <w:rFonts w:hint="eastAsia" w:ascii="仿宋_GB2312" w:hAnsi="仿宋_GB2312" w:eastAsia="仿宋_GB2312" w:cs="仿宋_GB2312"/>
          <w:kern w:val="0"/>
          <w:sz w:val="32"/>
          <w:szCs w:val="32"/>
        </w:rPr>
        <w:t>负责人</w:t>
      </w:r>
      <w:r>
        <w:rPr>
          <w:rFonts w:hint="eastAsia" w:ascii="仿宋_GB2312" w:hAnsi="仿宋_GB2312" w:eastAsia="仿宋_GB2312" w:cs="仿宋_GB2312"/>
          <w:kern w:val="0"/>
          <w:sz w:val="32"/>
          <w:szCs w:val="32"/>
          <w:lang w:val="zh-CN"/>
        </w:rPr>
        <w:t>用车0辆、机要通信用车0辆、应急保障用车0辆、执法执勤用车0辆、特种专业技术用车0辆、离退休干部</w:t>
      </w:r>
      <w:r>
        <w:rPr>
          <w:rFonts w:hint="eastAsia" w:ascii="仿宋_GB2312" w:hAnsi="仿宋_GB2312" w:eastAsia="仿宋_GB2312" w:cs="仿宋_GB2312"/>
          <w:kern w:val="0"/>
          <w:sz w:val="32"/>
          <w:szCs w:val="32"/>
        </w:rPr>
        <w:t>服务</w:t>
      </w:r>
      <w:r>
        <w:rPr>
          <w:rFonts w:hint="eastAsia" w:ascii="仿宋_GB2312" w:hAnsi="仿宋_GB2312" w:eastAsia="仿宋_GB2312" w:cs="仿宋_GB2312"/>
          <w:kern w:val="0"/>
          <w:sz w:val="32"/>
          <w:szCs w:val="32"/>
          <w:lang w:val="zh-CN"/>
        </w:rPr>
        <w:t>用车0辆、其他用车1辆，其他用车主要是：</w:t>
      </w:r>
      <w:r>
        <w:rPr>
          <w:rFonts w:hint="eastAsia" w:ascii="仿宋_GB2312" w:hAnsi="仿宋_GB2312" w:eastAsia="仿宋_GB2312" w:cs="仿宋_GB2312"/>
          <w:kern w:val="0"/>
          <w:sz w:val="32"/>
          <w:szCs w:val="32"/>
        </w:rPr>
        <w:t>单位业务用车</w:t>
      </w:r>
      <w:r>
        <w:rPr>
          <w:rFonts w:hint="eastAsia" w:ascii="仿宋_GB2312" w:hAnsi="仿宋_GB2312" w:eastAsia="仿宋_GB2312" w:cs="仿宋_GB2312"/>
          <w:kern w:val="0"/>
          <w:sz w:val="32"/>
          <w:szCs w:val="32"/>
          <w:lang w:val="zh-CN"/>
        </w:rPr>
        <w:t>；单价100万元（含）以上设备（不含车辆）0</w:t>
      </w:r>
      <w:r>
        <w:rPr>
          <w:rFonts w:hint="eastAsia" w:ascii="仿宋_GB2312" w:hAnsi="仿宋_GB2312" w:eastAsia="仿宋_GB2312" w:cs="仿宋_GB2312"/>
          <w:kern w:val="0"/>
          <w:sz w:val="32"/>
          <w:szCs w:val="32"/>
        </w:rPr>
        <w:t>台（</w:t>
      </w:r>
      <w:r>
        <w:rPr>
          <w:rFonts w:hint="eastAsia" w:ascii="仿宋_GB2312" w:hAnsi="仿宋_GB2312" w:eastAsia="仿宋_GB2312" w:cs="仿宋_GB2312"/>
          <w:kern w:val="0"/>
          <w:sz w:val="32"/>
          <w:szCs w:val="32"/>
          <w:lang w:val="zh-CN"/>
        </w:rPr>
        <w:t>套）。</w:t>
      </w:r>
    </w:p>
    <w:p w14:paraId="65266481">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0CEA94FD">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预算总额1,317.47万元，实际执行总</w:t>
      </w:r>
      <w:r>
        <w:rPr>
          <w:rFonts w:hint="eastAsia" w:ascii="仿宋_GB2312" w:hAnsi="仿宋_GB2312" w:eastAsia="仿宋_GB2312" w:cs="仿宋_GB2312"/>
          <w:kern w:val="0"/>
          <w:sz w:val="32"/>
          <w:szCs w:val="32"/>
        </w:rPr>
        <w:t>额1,298.31万元；</w:t>
      </w:r>
      <w:r>
        <w:rPr>
          <w:rFonts w:hint="eastAsia" w:ascii="仿宋_GB2312" w:eastAsia="仿宋_GB2312"/>
          <w:sz w:val="32"/>
          <w:szCs w:val="32"/>
        </w:rPr>
        <w:t>预算绩效评价项目0个，全年预算数0.00万元，全年执行数0.00万元。预算绩效管理取得的成效：一是我单位严格按照项目资金用途使用资金做到专款专用，达到年初预算执行率；二是充分认识到项目资金的重要性和特殊性,以高度的责任感和使命感管好用好每一分钱,使资金的安排、使用发挥出最大效益,实现项目绩效目标。发现的问题及原因：一是每月绩效监控报告上报不够及时。主要是财会人员业务不够熟悉，对绩效监控的法规掌握不深不透；二是个别项目经费绩效目标有所偏差。主要是年度预算不精细精准，经费使用与工作进程脱节。下一步改进措施：一是加强单位财务管理，健全单位财务管理制度，规范单位财务行为；二是进一步加强经费使用管理，开展经费绩效监控相关教育培训，加强财务管理，严格财务审核。具体项目自评情况附绩效自评表及自评报告。</w:t>
      </w:r>
    </w:p>
    <w:tbl>
      <w:tblPr>
        <w:tblStyle w:val="9"/>
        <w:tblW w:w="5308" w:type="pct"/>
        <w:jc w:val="center"/>
        <w:tblLayout w:type="fixed"/>
        <w:tblCellMar>
          <w:top w:w="0" w:type="dxa"/>
          <w:left w:w="108" w:type="dxa"/>
          <w:bottom w:w="0" w:type="dxa"/>
          <w:right w:w="108" w:type="dxa"/>
        </w:tblCellMar>
      </w:tblPr>
      <w:tblGrid>
        <w:gridCol w:w="1584"/>
        <w:gridCol w:w="907"/>
        <w:gridCol w:w="1491"/>
        <w:gridCol w:w="1433"/>
        <w:gridCol w:w="1434"/>
        <w:gridCol w:w="955"/>
        <w:gridCol w:w="701"/>
        <w:gridCol w:w="542"/>
      </w:tblGrid>
      <w:tr w14:paraId="3FDCFD86">
        <w:tblPrEx>
          <w:tblCellMar>
            <w:top w:w="0" w:type="dxa"/>
            <w:left w:w="108" w:type="dxa"/>
            <w:bottom w:w="0" w:type="dxa"/>
            <w:right w:w="108" w:type="dxa"/>
          </w:tblCellMar>
        </w:tblPrEx>
        <w:trPr>
          <w:trHeight w:val="522" w:hRule="atLeast"/>
          <w:jc w:val="center"/>
        </w:trPr>
        <w:tc>
          <w:tcPr>
            <w:tcW w:w="9047"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2658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部门（单位）整体支出绩效目标自评表</w:t>
            </w:r>
          </w:p>
        </w:tc>
      </w:tr>
      <w:tr w14:paraId="682CB5AF">
        <w:tblPrEx>
          <w:tblCellMar>
            <w:top w:w="0" w:type="dxa"/>
            <w:left w:w="108" w:type="dxa"/>
            <w:bottom w:w="0" w:type="dxa"/>
            <w:right w:w="108" w:type="dxa"/>
          </w:tblCellMar>
        </w:tblPrEx>
        <w:trPr>
          <w:trHeight w:val="360" w:hRule="atLeast"/>
          <w:jc w:val="center"/>
        </w:trPr>
        <w:tc>
          <w:tcPr>
            <w:tcW w:w="9047"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6DA9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（2023年度）</w:t>
            </w:r>
          </w:p>
        </w:tc>
      </w:tr>
      <w:tr w14:paraId="0073436A">
        <w:tblPrEx>
          <w:tblCellMar>
            <w:top w:w="0" w:type="dxa"/>
            <w:left w:w="108" w:type="dxa"/>
            <w:bottom w:w="0" w:type="dxa"/>
            <w:right w:w="108" w:type="dxa"/>
          </w:tblCellMar>
        </w:tblPrEx>
        <w:trPr>
          <w:trHeight w:val="66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2EA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部门（单位）名称</w:t>
            </w:r>
          </w:p>
        </w:tc>
        <w:tc>
          <w:tcPr>
            <w:tcW w:w="7463"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731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木垒哈萨克自治县新户镇中心学校</w:t>
            </w:r>
          </w:p>
        </w:tc>
      </w:tr>
      <w:tr w14:paraId="738A15E8">
        <w:tblPrEx>
          <w:tblCellMar>
            <w:top w:w="0" w:type="dxa"/>
            <w:left w:w="108" w:type="dxa"/>
            <w:bottom w:w="0" w:type="dxa"/>
            <w:right w:w="108" w:type="dxa"/>
          </w:tblCellMar>
        </w:tblPrEx>
        <w:trPr>
          <w:trHeight w:val="570" w:hRule="atLeast"/>
          <w:jc w:val="center"/>
        </w:trPr>
        <w:tc>
          <w:tcPr>
            <w:tcW w:w="15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EDDE4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部门资金（万元）</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5EA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1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4A3A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620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C91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21FA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5860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3F9F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19F7EEB1">
        <w:tblPrEx>
          <w:tblCellMar>
            <w:top w:w="0" w:type="dxa"/>
            <w:left w:w="108" w:type="dxa"/>
            <w:bottom w:w="0" w:type="dxa"/>
            <w:right w:w="108" w:type="dxa"/>
          </w:tblCellMar>
        </w:tblPrEx>
        <w:trPr>
          <w:trHeight w:val="882" w:hRule="atLeast"/>
          <w:jc w:val="center"/>
        </w:trPr>
        <w:tc>
          <w:tcPr>
            <w:tcW w:w="15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774B90">
            <w:pPr>
              <w:jc w:val="center"/>
              <w:rPr>
                <w:rFonts w:hint="eastAsia" w:ascii="宋体" w:hAnsi="宋体" w:cs="宋体"/>
                <w:color w:val="000000"/>
                <w:sz w:val="20"/>
                <w:szCs w:val="20"/>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A848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中央安排</w:t>
            </w:r>
          </w:p>
        </w:tc>
        <w:tc>
          <w:tcPr>
            <w:tcW w:w="1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B88E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58.14</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11A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106.32</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C477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106.32</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E62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CFE9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EA11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3D1E347A">
        <w:tblPrEx>
          <w:tblCellMar>
            <w:top w:w="0" w:type="dxa"/>
            <w:left w:w="108" w:type="dxa"/>
            <w:bottom w:w="0" w:type="dxa"/>
            <w:right w:w="108" w:type="dxa"/>
          </w:tblCellMar>
        </w:tblPrEx>
        <w:trPr>
          <w:trHeight w:val="882" w:hRule="atLeast"/>
          <w:jc w:val="center"/>
        </w:trPr>
        <w:tc>
          <w:tcPr>
            <w:tcW w:w="15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8CBA44">
            <w:pPr>
              <w:jc w:val="center"/>
              <w:rPr>
                <w:rFonts w:hint="eastAsia" w:ascii="宋体" w:hAnsi="宋体" w:cs="宋体"/>
                <w:color w:val="000000"/>
                <w:sz w:val="20"/>
                <w:szCs w:val="20"/>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2A4D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自治区安排</w:t>
            </w:r>
          </w:p>
        </w:tc>
        <w:tc>
          <w:tcPr>
            <w:tcW w:w="1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B63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25.90</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0FE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65.51</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EA8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65.51</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F6B3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0D8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1FCD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2429D668">
        <w:tblPrEx>
          <w:tblCellMar>
            <w:top w:w="0" w:type="dxa"/>
            <w:left w:w="108" w:type="dxa"/>
            <w:bottom w:w="0" w:type="dxa"/>
            <w:right w:w="108" w:type="dxa"/>
          </w:tblCellMar>
        </w:tblPrEx>
        <w:trPr>
          <w:trHeight w:val="882" w:hRule="atLeast"/>
          <w:jc w:val="center"/>
        </w:trPr>
        <w:tc>
          <w:tcPr>
            <w:tcW w:w="15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CFFAC5">
            <w:pPr>
              <w:jc w:val="center"/>
              <w:rPr>
                <w:rFonts w:hint="eastAsia" w:ascii="宋体" w:hAnsi="宋体" w:cs="宋体"/>
                <w:color w:val="000000"/>
                <w:sz w:val="20"/>
                <w:szCs w:val="20"/>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438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地（州、市）安排</w:t>
            </w:r>
          </w:p>
        </w:tc>
        <w:tc>
          <w:tcPr>
            <w:tcW w:w="1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DC8B0">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8C394">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3F516">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E0B3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FDA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8A9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0C9E804F">
        <w:tblPrEx>
          <w:tblCellMar>
            <w:top w:w="0" w:type="dxa"/>
            <w:left w:w="108" w:type="dxa"/>
            <w:bottom w:w="0" w:type="dxa"/>
            <w:right w:w="108" w:type="dxa"/>
          </w:tblCellMar>
        </w:tblPrEx>
        <w:trPr>
          <w:trHeight w:val="882" w:hRule="atLeast"/>
          <w:jc w:val="center"/>
        </w:trPr>
        <w:tc>
          <w:tcPr>
            <w:tcW w:w="15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1312A5">
            <w:pPr>
              <w:jc w:val="center"/>
              <w:rPr>
                <w:rFonts w:hint="eastAsia" w:ascii="宋体" w:hAnsi="宋体" w:cs="宋体"/>
                <w:color w:val="000000"/>
                <w:sz w:val="20"/>
                <w:szCs w:val="20"/>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F2C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县（市、区）安排</w:t>
            </w:r>
          </w:p>
        </w:tc>
        <w:tc>
          <w:tcPr>
            <w:tcW w:w="1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DD9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1,059.59</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34E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1,145.64</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57D7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1,126.48</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A7F4C">
            <w:pPr>
              <w:jc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22F68">
            <w:pPr>
              <w:jc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19219">
            <w:pPr>
              <w:jc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0EC8FE46">
        <w:tblPrEx>
          <w:tblCellMar>
            <w:top w:w="0" w:type="dxa"/>
            <w:left w:w="108" w:type="dxa"/>
            <w:bottom w:w="0" w:type="dxa"/>
            <w:right w:w="108" w:type="dxa"/>
          </w:tblCellMar>
        </w:tblPrEx>
        <w:trPr>
          <w:trHeight w:val="882" w:hRule="atLeast"/>
          <w:jc w:val="center"/>
        </w:trPr>
        <w:tc>
          <w:tcPr>
            <w:tcW w:w="15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AD0528">
            <w:pPr>
              <w:jc w:val="center"/>
              <w:rPr>
                <w:rFonts w:hint="eastAsia" w:ascii="宋体" w:hAnsi="宋体" w:cs="宋体"/>
                <w:color w:val="000000"/>
                <w:sz w:val="20"/>
                <w:szCs w:val="20"/>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B9A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A0C87">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F98E5">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95AB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9E9EE">
            <w:pPr>
              <w:jc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04C4B">
            <w:pPr>
              <w:jc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BA43F">
            <w:pPr>
              <w:jc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2A66C9A5">
        <w:tblPrEx>
          <w:tblCellMar>
            <w:top w:w="0" w:type="dxa"/>
            <w:left w:w="108" w:type="dxa"/>
            <w:bottom w:w="0" w:type="dxa"/>
            <w:right w:w="108" w:type="dxa"/>
          </w:tblCellMar>
        </w:tblPrEx>
        <w:trPr>
          <w:trHeight w:val="882" w:hRule="atLeast"/>
          <w:jc w:val="center"/>
        </w:trPr>
        <w:tc>
          <w:tcPr>
            <w:tcW w:w="15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CF80CC">
            <w:pPr>
              <w:jc w:val="center"/>
              <w:rPr>
                <w:rFonts w:hint="eastAsia" w:ascii="宋体" w:hAnsi="宋体" w:cs="宋体"/>
                <w:color w:val="000000"/>
                <w:sz w:val="20"/>
                <w:szCs w:val="20"/>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CE2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合计</w:t>
            </w:r>
          </w:p>
        </w:tc>
        <w:tc>
          <w:tcPr>
            <w:tcW w:w="1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8CA9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1,143.63</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128E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1,317.47</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AC6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1,298.31</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9E97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D39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BB04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74D91714">
        <w:tblPrEx>
          <w:tblCellMar>
            <w:top w:w="0" w:type="dxa"/>
            <w:left w:w="108" w:type="dxa"/>
            <w:bottom w:w="0" w:type="dxa"/>
            <w:right w:w="108" w:type="dxa"/>
          </w:tblCellMar>
        </w:tblPrEx>
        <w:trPr>
          <w:trHeight w:val="705" w:hRule="atLeast"/>
          <w:jc w:val="center"/>
        </w:trPr>
        <w:tc>
          <w:tcPr>
            <w:tcW w:w="15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5292B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383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32C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363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AA8C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14:paraId="0F79714A">
        <w:tblPrEx>
          <w:tblCellMar>
            <w:top w:w="0" w:type="dxa"/>
            <w:left w:w="108" w:type="dxa"/>
            <w:bottom w:w="0" w:type="dxa"/>
            <w:right w:w="108" w:type="dxa"/>
          </w:tblCellMar>
        </w:tblPrEx>
        <w:trPr>
          <w:trHeight w:val="1999" w:hRule="atLeast"/>
          <w:jc w:val="center"/>
        </w:trPr>
        <w:tc>
          <w:tcPr>
            <w:tcW w:w="15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575D2A">
            <w:pPr>
              <w:jc w:val="center"/>
              <w:rPr>
                <w:rFonts w:hint="eastAsia" w:ascii="宋体" w:hAnsi="宋体" w:cs="宋体"/>
                <w:color w:val="000000"/>
                <w:sz w:val="20"/>
                <w:szCs w:val="20"/>
              </w:rPr>
            </w:pPr>
          </w:p>
        </w:tc>
        <w:tc>
          <w:tcPr>
            <w:tcW w:w="38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D9DFA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目标1：宣传贯彻执行党和国家的教育方针、政策、法律法规等坚持依法执教、依法治学，贯彻执行县教育局的行政规章制度；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 xml:space="preserve">目标2：组织开展本校的教育科学科研和教育教学改革，全力推进素质教育实施；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目标3：按照义务教育课程计划，开齐课程，开足课时，认真实施小学的教育教学管理，全面推进素质教育，全面提高教育教学质量。</w:t>
            </w:r>
          </w:p>
        </w:tc>
        <w:tc>
          <w:tcPr>
            <w:tcW w:w="36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0A6F10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截止2023年部门整体自评，我单位已完成如下工作：保障办公人员数量52人，组织及各类考试完成及时率达到100%，资助学生人数164人，开展教师培训数量3次，各类培训及学习次数20次，组织开展本校的教育科学科研和教育教学改革，全力推进素质教育实施，按照义务教育课程计划，开齐课程，开足课时，认真实施小学的教育教学管理，全面推进素质教育，全面提高教育教学质量。</w:t>
            </w:r>
          </w:p>
        </w:tc>
      </w:tr>
      <w:tr w14:paraId="3D997E37">
        <w:tblPrEx>
          <w:tblCellMar>
            <w:top w:w="0" w:type="dxa"/>
            <w:left w:w="108" w:type="dxa"/>
            <w:bottom w:w="0" w:type="dxa"/>
            <w:right w:w="108" w:type="dxa"/>
          </w:tblCellMar>
        </w:tblPrEx>
        <w:trPr>
          <w:trHeight w:val="582"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BCBE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9E9E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E46D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061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预期指标值</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46D5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指标值设定依据</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3E87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AF89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实际完成指标值</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FE2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0A868A01">
        <w:tblPrEx>
          <w:tblCellMar>
            <w:top w:w="0" w:type="dxa"/>
            <w:left w:w="108" w:type="dxa"/>
            <w:bottom w:w="0" w:type="dxa"/>
            <w:right w:w="108" w:type="dxa"/>
          </w:tblCellMar>
        </w:tblPrEx>
        <w:trPr>
          <w:trHeight w:val="739"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BE80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运行成本</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081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001E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保障办公人员数量</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53C4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&gt;=52人</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64F5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木垒哈萨克自治县新户镇中心学校机构改革方案</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E13B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666C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52人</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10B2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r w14:paraId="278E1385">
        <w:tblPrEx>
          <w:tblCellMar>
            <w:top w:w="0" w:type="dxa"/>
            <w:left w:w="108" w:type="dxa"/>
            <w:bottom w:w="0" w:type="dxa"/>
            <w:right w:w="108" w:type="dxa"/>
          </w:tblCellMar>
        </w:tblPrEx>
        <w:trPr>
          <w:trHeight w:val="739" w:hRule="atLeast"/>
          <w:jc w:val="center"/>
        </w:trPr>
        <w:tc>
          <w:tcPr>
            <w:tcW w:w="15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68F4D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管理效率</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6E4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48B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各类考试完成及时率</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5FBF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&gt;=100%</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F2CE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木垒县新户镇中心学校2023年工作计划</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AB0C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B81E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w:t>
            </w:r>
            <w:r>
              <w:rPr>
                <w:rStyle w:val="15"/>
                <w:rFonts w:hint="default"/>
                <w:lang w:bidi="ar"/>
              </w:rPr>
              <w:t>100%</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25D3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r>
      <w:tr w14:paraId="105C4498">
        <w:tblPrEx>
          <w:tblCellMar>
            <w:top w:w="0" w:type="dxa"/>
            <w:left w:w="108" w:type="dxa"/>
            <w:bottom w:w="0" w:type="dxa"/>
            <w:right w:w="108" w:type="dxa"/>
          </w:tblCellMar>
        </w:tblPrEx>
        <w:trPr>
          <w:trHeight w:val="739" w:hRule="atLeast"/>
          <w:jc w:val="center"/>
        </w:trPr>
        <w:tc>
          <w:tcPr>
            <w:tcW w:w="15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8F8C51">
            <w:pPr>
              <w:jc w:val="center"/>
              <w:rPr>
                <w:rFonts w:hint="eastAsia" w:ascii="宋体" w:hAnsi="宋体" w:cs="宋体"/>
                <w:color w:val="000000"/>
                <w:sz w:val="20"/>
                <w:szCs w:val="20"/>
              </w:rPr>
            </w:pPr>
          </w:p>
        </w:tc>
        <w:tc>
          <w:tcPr>
            <w:tcW w:w="9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06BF5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744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资助学生人数</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D39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&gt;=164人</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433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木垒县新户镇中心学校2023年工作计划</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2F58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29B5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w:t>
            </w:r>
            <w:r>
              <w:rPr>
                <w:rStyle w:val="15"/>
                <w:rFonts w:hint="default"/>
                <w:lang w:bidi="ar"/>
              </w:rPr>
              <w:t>164人</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DCA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7F47DFF9">
        <w:tblPrEx>
          <w:tblCellMar>
            <w:top w:w="0" w:type="dxa"/>
            <w:left w:w="108" w:type="dxa"/>
            <w:bottom w:w="0" w:type="dxa"/>
            <w:right w:w="108" w:type="dxa"/>
          </w:tblCellMar>
        </w:tblPrEx>
        <w:trPr>
          <w:trHeight w:val="739" w:hRule="atLeast"/>
          <w:jc w:val="center"/>
        </w:trPr>
        <w:tc>
          <w:tcPr>
            <w:tcW w:w="15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C03224">
            <w:pPr>
              <w:jc w:val="center"/>
              <w:rPr>
                <w:rFonts w:hint="eastAsia" w:ascii="宋体" w:hAnsi="宋体" w:cs="宋体"/>
                <w:color w:val="000000"/>
                <w:sz w:val="20"/>
                <w:szCs w:val="20"/>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506E62">
            <w:pPr>
              <w:jc w:val="center"/>
              <w:rPr>
                <w:rFonts w:hint="eastAsia" w:ascii="宋体" w:hAnsi="宋体" w:cs="宋体"/>
                <w:color w:val="000000"/>
                <w:sz w:val="20"/>
                <w:szCs w:val="20"/>
              </w:rPr>
            </w:pPr>
          </w:p>
        </w:tc>
        <w:tc>
          <w:tcPr>
            <w:tcW w:w="1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7A7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开展教师培训数量</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59E7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&gt;=3次</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D9E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木垒县新户镇中心学校2023年工作计划</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4576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90E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w:t>
            </w:r>
            <w:r>
              <w:rPr>
                <w:rStyle w:val="15"/>
                <w:rFonts w:hint="default"/>
                <w:lang w:bidi="ar"/>
              </w:rPr>
              <w:t>3次</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ED9D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541704EB">
        <w:tblPrEx>
          <w:tblCellMar>
            <w:top w:w="0" w:type="dxa"/>
            <w:left w:w="108" w:type="dxa"/>
            <w:bottom w:w="0" w:type="dxa"/>
            <w:right w:w="108" w:type="dxa"/>
          </w:tblCellMar>
        </w:tblPrEx>
        <w:trPr>
          <w:trHeight w:val="739" w:hRule="atLeast"/>
          <w:jc w:val="center"/>
        </w:trPr>
        <w:tc>
          <w:tcPr>
            <w:tcW w:w="15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684F9E">
            <w:pPr>
              <w:jc w:val="center"/>
              <w:rPr>
                <w:rFonts w:hint="eastAsia" w:ascii="宋体" w:hAnsi="宋体" w:cs="宋体"/>
                <w:color w:val="000000"/>
                <w:sz w:val="20"/>
                <w:szCs w:val="20"/>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313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18B5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控辍保学率</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B64D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87D0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木垒县新户镇中心学校2023年工作计划</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11E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5A83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2C7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r>
      <w:tr w14:paraId="36A087E7">
        <w:tblPrEx>
          <w:tblCellMar>
            <w:top w:w="0" w:type="dxa"/>
            <w:left w:w="108" w:type="dxa"/>
            <w:bottom w:w="0" w:type="dxa"/>
            <w:right w:w="108" w:type="dxa"/>
          </w:tblCellMar>
        </w:tblPrEx>
        <w:trPr>
          <w:trHeight w:val="739" w:hRule="atLeast"/>
          <w:jc w:val="center"/>
        </w:trPr>
        <w:tc>
          <w:tcPr>
            <w:tcW w:w="15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248D3B">
            <w:pPr>
              <w:jc w:val="center"/>
              <w:rPr>
                <w:rFonts w:hint="eastAsia" w:ascii="宋体" w:hAnsi="宋体" w:cs="宋体"/>
                <w:color w:val="000000"/>
                <w:sz w:val="20"/>
                <w:szCs w:val="20"/>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ACC7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4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2449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助学金发放及时率</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D8B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7CE4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木垒县新户镇中心学校2023年工作计划</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0E72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FFAC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4DF8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04D802DD">
        <w:tblPrEx>
          <w:tblCellMar>
            <w:top w:w="0" w:type="dxa"/>
            <w:left w:w="108" w:type="dxa"/>
            <w:bottom w:w="0" w:type="dxa"/>
            <w:right w:w="108" w:type="dxa"/>
          </w:tblCellMar>
        </w:tblPrEx>
        <w:trPr>
          <w:trHeight w:val="739" w:hRule="atLeast"/>
          <w:jc w:val="center"/>
        </w:trPr>
        <w:tc>
          <w:tcPr>
            <w:tcW w:w="158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A696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履职效能</w:t>
            </w:r>
          </w:p>
        </w:tc>
        <w:tc>
          <w:tcPr>
            <w:tcW w:w="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B89D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4A22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各类培训及学习次数</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D74D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&gt;=20次</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8C25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木垒县新户镇中心学校2023年工作计划</w:t>
            </w:r>
          </w:p>
        </w:tc>
        <w:tc>
          <w:tcPr>
            <w:tcW w:w="9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5244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E98E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20次</w:t>
            </w:r>
          </w:p>
        </w:tc>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DBF1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12EB3ACE">
        <w:tblPrEx>
          <w:tblCellMar>
            <w:top w:w="0" w:type="dxa"/>
            <w:left w:w="108" w:type="dxa"/>
            <w:bottom w:w="0" w:type="dxa"/>
            <w:right w:w="108" w:type="dxa"/>
          </w:tblCellMar>
        </w:tblPrEx>
        <w:trPr>
          <w:trHeight w:val="739" w:hRule="atLeast"/>
          <w:jc w:val="center"/>
        </w:trPr>
        <w:tc>
          <w:tcPr>
            <w:tcW w:w="158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28C48">
            <w:pPr>
              <w:rPr>
                <w:rFonts w:hint="eastAsia" w:ascii="宋体" w:hAnsi="宋体" w:cs="宋体"/>
                <w:color w:val="000000"/>
                <w:sz w:val="20"/>
                <w:szCs w:val="20"/>
              </w:rPr>
            </w:pPr>
          </w:p>
        </w:tc>
        <w:tc>
          <w:tcPr>
            <w:tcW w:w="90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CA89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D254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教师培训合格率</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C5FB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02B5F">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木垒县新户镇中心学校2023年工作计划</w:t>
            </w:r>
          </w:p>
        </w:tc>
        <w:tc>
          <w:tcPr>
            <w:tcW w:w="9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CB11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236B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w:t>
            </w:r>
            <w:r>
              <w:rPr>
                <w:rStyle w:val="15"/>
                <w:rFonts w:hint="default"/>
                <w:lang w:bidi="ar"/>
              </w:rPr>
              <w:t>95%</w:t>
            </w:r>
          </w:p>
        </w:tc>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ACEC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29F6AAC3">
        <w:tblPrEx>
          <w:tblCellMar>
            <w:top w:w="0" w:type="dxa"/>
            <w:left w:w="108" w:type="dxa"/>
            <w:bottom w:w="0" w:type="dxa"/>
            <w:right w:w="108" w:type="dxa"/>
          </w:tblCellMar>
        </w:tblPrEx>
        <w:trPr>
          <w:trHeight w:val="739"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B9F2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w:t>
            </w: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50BA9">
            <w:pPr>
              <w:rPr>
                <w:rFonts w:hint="eastAsia" w:ascii="宋体" w:hAnsi="宋体" w:cs="宋体"/>
                <w:color w:val="000000"/>
                <w:sz w:val="20"/>
                <w:szCs w:val="20"/>
              </w:rPr>
            </w:pP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D153B">
            <w:pPr>
              <w:rPr>
                <w:rFonts w:hint="eastAsia" w:ascii="宋体" w:hAnsi="宋体" w:cs="宋体"/>
                <w:color w:val="000000"/>
                <w:sz w:val="20"/>
                <w:szCs w:val="20"/>
              </w:rPr>
            </w:pP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4532C">
            <w:pPr>
              <w:rPr>
                <w:rFonts w:hint="eastAsia" w:ascii="宋体" w:hAnsi="宋体" w:cs="宋体"/>
                <w:color w:val="000000"/>
                <w:sz w:val="20"/>
                <w:szCs w:val="20"/>
              </w:rPr>
            </w:pP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7978D">
            <w:pPr>
              <w:rPr>
                <w:rFonts w:hint="eastAsia" w:ascii="宋体" w:hAnsi="宋体" w:cs="宋体"/>
                <w:color w:val="000000"/>
                <w:sz w:val="20"/>
                <w:szCs w:val="20"/>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DCA85">
            <w:pPr>
              <w:rPr>
                <w:rFonts w:hint="eastAsia" w:ascii="宋体" w:hAnsi="宋体" w:cs="宋体"/>
                <w:color w:val="000000"/>
                <w:sz w:val="20"/>
                <w:szCs w:val="20"/>
              </w:rPr>
            </w:pP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F4966">
            <w:pPr>
              <w:rPr>
                <w:rFonts w:hint="eastAsia" w:ascii="宋体" w:hAnsi="宋体" w:cs="宋体"/>
                <w:color w:val="000000"/>
                <w:sz w:val="20"/>
                <w:szCs w:val="20"/>
              </w:rPr>
            </w:pPr>
          </w:p>
        </w:tc>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FBC46">
            <w:pPr>
              <w:rPr>
                <w:rFonts w:hint="eastAsia" w:ascii="宋体" w:hAnsi="宋体" w:cs="宋体"/>
                <w:color w:val="000000"/>
                <w:sz w:val="20"/>
                <w:szCs w:val="20"/>
              </w:rPr>
            </w:pPr>
          </w:p>
        </w:tc>
      </w:tr>
      <w:tr w14:paraId="6E24A50F">
        <w:tblPrEx>
          <w:tblCellMar>
            <w:top w:w="0" w:type="dxa"/>
            <w:left w:w="108" w:type="dxa"/>
            <w:bottom w:w="0" w:type="dxa"/>
            <w:right w:w="108" w:type="dxa"/>
          </w:tblCellMar>
        </w:tblPrEx>
        <w:trPr>
          <w:trHeight w:val="739"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1D2C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可持续发展能力</w:t>
            </w: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10C1E">
            <w:pPr>
              <w:rPr>
                <w:rFonts w:hint="eastAsia" w:ascii="宋体" w:hAnsi="宋体" w:cs="宋体"/>
                <w:color w:val="000000"/>
                <w:sz w:val="20"/>
                <w:szCs w:val="20"/>
              </w:rPr>
            </w:pP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AA84C">
            <w:pPr>
              <w:rPr>
                <w:rFonts w:hint="eastAsia" w:ascii="宋体" w:hAnsi="宋体" w:cs="宋体"/>
                <w:color w:val="000000"/>
                <w:sz w:val="20"/>
                <w:szCs w:val="20"/>
              </w:rPr>
            </w:pP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75DCD">
            <w:pPr>
              <w:rPr>
                <w:rFonts w:hint="eastAsia" w:ascii="宋体" w:hAnsi="宋体" w:cs="宋体"/>
                <w:color w:val="000000"/>
                <w:sz w:val="20"/>
                <w:szCs w:val="20"/>
              </w:rPr>
            </w:pP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6546C">
            <w:pPr>
              <w:rPr>
                <w:rFonts w:hint="eastAsia" w:ascii="宋体" w:hAnsi="宋体" w:cs="宋体"/>
                <w:color w:val="000000"/>
                <w:sz w:val="20"/>
                <w:szCs w:val="20"/>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169A3">
            <w:pPr>
              <w:rPr>
                <w:rFonts w:hint="eastAsia" w:ascii="宋体" w:hAnsi="宋体" w:cs="宋体"/>
                <w:color w:val="000000"/>
                <w:sz w:val="20"/>
                <w:szCs w:val="20"/>
              </w:rPr>
            </w:pP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E40BE">
            <w:pPr>
              <w:rPr>
                <w:rFonts w:hint="eastAsia" w:ascii="宋体" w:hAnsi="宋体" w:cs="宋体"/>
                <w:color w:val="000000"/>
                <w:sz w:val="20"/>
                <w:szCs w:val="20"/>
              </w:rPr>
            </w:pPr>
          </w:p>
        </w:tc>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6B182">
            <w:pPr>
              <w:rPr>
                <w:rFonts w:hint="eastAsia" w:ascii="宋体" w:hAnsi="宋体" w:cs="宋体"/>
                <w:color w:val="000000"/>
                <w:sz w:val="20"/>
                <w:szCs w:val="20"/>
              </w:rPr>
            </w:pPr>
          </w:p>
        </w:tc>
      </w:tr>
      <w:tr w14:paraId="39CEB335">
        <w:tblPrEx>
          <w:tblCellMar>
            <w:top w:w="0" w:type="dxa"/>
            <w:left w:w="108" w:type="dxa"/>
            <w:bottom w:w="0" w:type="dxa"/>
            <w:right w:w="108" w:type="dxa"/>
          </w:tblCellMar>
        </w:tblPrEx>
        <w:trPr>
          <w:trHeight w:val="739"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D32A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服务对象满意度</w:t>
            </w: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DE4FF">
            <w:pPr>
              <w:rPr>
                <w:rFonts w:hint="eastAsia" w:ascii="宋体" w:hAnsi="宋体" w:cs="宋体"/>
                <w:color w:val="000000"/>
                <w:sz w:val="20"/>
                <w:szCs w:val="20"/>
              </w:rPr>
            </w:pP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6F5C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师生满意度</w:t>
            </w:r>
          </w:p>
        </w:tc>
        <w:tc>
          <w:tcPr>
            <w:tcW w:w="14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FF01F">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B8F7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木垒县新户镇中心学校2023年工作计划</w:t>
            </w:r>
          </w:p>
        </w:tc>
        <w:tc>
          <w:tcPr>
            <w:tcW w:w="9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C40B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AAC6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5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5C18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bl>
    <w:p w14:paraId="49BDDD8F">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13E9809B">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我单位本年资金紧张未购买办公用品及设备。因此政府采购金额支出为0.00万元。其中授予中小企业合同金额、授予小微企业合同金额为0.00万元。</w:t>
      </w:r>
    </w:p>
    <w:p w14:paraId="7FF782FC">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5569051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38F533D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31D1F1C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5E354E1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3E027AD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002E53F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0C57A20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18F030C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18C0DA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04F4F30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441B776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6CBFB46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1178D06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2DFB1FE">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3ABC4E6A">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65191CFC">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0F79DFA5">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5185663A">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05AF9C23">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3D058EC2">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19426A1E">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23EDB8DF">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71DA10C9">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55C2DDB0">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2FBF8DB8">
      <w:pPr>
        <w:ind w:firstLine="640" w:firstLineChars="200"/>
        <w:rPr>
          <w:rFonts w:ascii="仿宋_GB2312" w:eastAsia="仿宋_GB2312"/>
          <w:sz w:val="32"/>
          <w:szCs w:val="32"/>
        </w:rPr>
      </w:pPr>
    </w:p>
    <w:p w14:paraId="62AC8B15">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264D3">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8ABE905">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28ABE905">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937F30"/>
    <w:rsid w:val="000C7FCB"/>
    <w:rsid w:val="001628D9"/>
    <w:rsid w:val="00213C59"/>
    <w:rsid w:val="00312AED"/>
    <w:rsid w:val="003210CE"/>
    <w:rsid w:val="00547E4F"/>
    <w:rsid w:val="006A1DAB"/>
    <w:rsid w:val="007871EB"/>
    <w:rsid w:val="009350C3"/>
    <w:rsid w:val="00937F30"/>
    <w:rsid w:val="00A20B38"/>
    <w:rsid w:val="00B70D59"/>
    <w:rsid w:val="00C8684D"/>
    <w:rsid w:val="00D66690"/>
    <w:rsid w:val="00DA477A"/>
    <w:rsid w:val="00E1530D"/>
    <w:rsid w:val="00E27A41"/>
    <w:rsid w:val="00EC352D"/>
    <w:rsid w:val="00F52A8D"/>
    <w:rsid w:val="00F563EB"/>
    <w:rsid w:val="019404F8"/>
    <w:rsid w:val="02A33A76"/>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4D2467"/>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4D3D90"/>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493D37"/>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622F6B"/>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8A5746"/>
    <w:rsid w:val="79D57D57"/>
    <w:rsid w:val="79F00650"/>
    <w:rsid w:val="7A6242BF"/>
    <w:rsid w:val="7A794513"/>
    <w:rsid w:val="7AE952D2"/>
    <w:rsid w:val="7C7248A0"/>
    <w:rsid w:val="7C976D69"/>
    <w:rsid w:val="7CD752DA"/>
    <w:rsid w:val="7CDE40AB"/>
    <w:rsid w:val="7CF057E2"/>
    <w:rsid w:val="7D124E1E"/>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autoRedefine/>
    <w:qFormat/>
    <w:uiPriority w:val="0"/>
    <w:rPr>
      <w:rFonts w:ascii="Times New Roman" w:hAnsi="Times New Roman" w:eastAsia="宋体" w:cs="Times New Roman"/>
      <w:lang w:val="en-US" w:eastAsia="zh-CN" w:bidi="ar-SA"/>
    </w:rPr>
  </w:style>
  <w:style w:type="character" w:customStyle="1" w:styleId="15">
    <w:name w:val="font21"/>
    <w:basedOn w:val="10"/>
    <w:autoRedefine/>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6285</Words>
  <Characters>7130</Characters>
  <Lines>58</Lines>
  <Paragraphs>16</Paragraphs>
  <TotalTime>39</TotalTime>
  <ScaleCrop>false</ScaleCrop>
  <LinksUpToDate>false</LinksUpToDate>
  <CharactersWithSpaces>7146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杜里里oppo</cp:lastModifiedBy>
  <dcterms:modified xsi:type="dcterms:W3CDTF">2024-11-12T11:06:23Z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